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35493E" w:rsidP="007B18B8">
      <w:pPr>
        <w:spacing w:after="180"/>
        <w:rPr>
          <w:b/>
          <w:sz w:val="44"/>
          <w:szCs w:val="44"/>
        </w:rPr>
      </w:pPr>
      <w:r>
        <w:rPr>
          <w:b/>
          <w:sz w:val="44"/>
          <w:szCs w:val="44"/>
        </w:rPr>
        <w:t>Predicting radioactivity</w:t>
      </w:r>
    </w:p>
    <w:p w:rsidR="007B18B8" w:rsidRDefault="007B18B8" w:rsidP="007B18B8">
      <w:pPr>
        <w:spacing w:after="180"/>
      </w:pPr>
    </w:p>
    <w:p w:rsidR="0035493E" w:rsidRPr="0035493E" w:rsidRDefault="0035493E" w:rsidP="0035493E">
      <w:pPr>
        <w:spacing w:line="276" w:lineRule="auto"/>
      </w:pPr>
      <w:r>
        <w:rPr>
          <w:noProof/>
          <w:lang w:eastAsia="en-GB"/>
        </w:rPr>
        <w:drawing>
          <wp:anchor distT="0" distB="0" distL="114300" distR="114300" simplePos="0" relativeHeight="251658240" behindDoc="0" locked="0" layoutInCell="1" allowOverlap="1" wp14:anchorId="25FB6A29">
            <wp:simplePos x="0" y="0"/>
            <wp:positionH relativeFrom="column">
              <wp:posOffset>4588895</wp:posOffset>
            </wp:positionH>
            <wp:positionV relativeFrom="paragraph">
              <wp:posOffset>10795</wp:posOffset>
            </wp:positionV>
            <wp:extent cx="904240" cy="1524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4240" cy="1524000"/>
                    </a:xfrm>
                    <a:prstGeom prst="rect">
                      <a:avLst/>
                    </a:prstGeom>
                    <a:noFill/>
                  </pic:spPr>
                </pic:pic>
              </a:graphicData>
            </a:graphic>
            <wp14:sizeRelH relativeFrom="margin">
              <wp14:pctWidth>0</wp14:pctWidth>
            </wp14:sizeRelH>
            <wp14:sizeRelV relativeFrom="margin">
              <wp14:pctHeight>0</wp14:pctHeight>
            </wp14:sizeRelV>
          </wp:anchor>
        </w:drawing>
      </w:r>
      <w:r w:rsidRPr="0035493E">
        <w:rPr>
          <w:lang w:val="en-US"/>
        </w:rPr>
        <w:t>Iodine-131 can be used to treat thyroid cancer.</w:t>
      </w:r>
    </w:p>
    <w:p w:rsidR="0035493E" w:rsidRPr="0035493E" w:rsidRDefault="0035493E" w:rsidP="0035493E">
      <w:pPr>
        <w:spacing w:line="276" w:lineRule="auto"/>
      </w:pPr>
      <w:r w:rsidRPr="0035493E">
        <w:rPr>
          <w:lang w:val="en-US"/>
        </w:rPr>
        <w:t xml:space="preserve">It decays by beta emission and has a half-life of 8.0 days. </w:t>
      </w:r>
    </w:p>
    <w:p w:rsidR="001D125F" w:rsidRDefault="001D125F" w:rsidP="001D125F">
      <w:pPr>
        <w:spacing w:line="276" w:lineRule="auto"/>
        <w:jc w:val="center"/>
        <w:rPr>
          <w:lang w:val="en-US"/>
        </w:rPr>
      </w:pPr>
    </w:p>
    <w:p w:rsidR="001D125F" w:rsidRDefault="001D125F" w:rsidP="001D125F">
      <w:pPr>
        <w:spacing w:line="276" w:lineRule="auto"/>
        <w:rPr>
          <w:szCs w:val="18"/>
        </w:rPr>
      </w:pPr>
    </w:p>
    <w:p w:rsidR="0035493E" w:rsidRDefault="0035493E" w:rsidP="001D125F">
      <w:pPr>
        <w:spacing w:line="276" w:lineRule="auto"/>
        <w:rPr>
          <w:szCs w:val="18"/>
        </w:rPr>
      </w:pPr>
    </w:p>
    <w:p w:rsidR="0035493E" w:rsidRPr="00201AC2" w:rsidRDefault="0035493E" w:rsidP="001D125F">
      <w:pPr>
        <w:spacing w:line="276" w:lineRule="auto"/>
        <w:rPr>
          <w:szCs w:val="18"/>
        </w:rPr>
      </w:pPr>
    </w:p>
    <w:p w:rsidR="0035493E" w:rsidRPr="0035493E" w:rsidRDefault="0035493E" w:rsidP="0035493E">
      <w:pPr>
        <w:spacing w:line="276" w:lineRule="auto"/>
        <w:ind w:left="425" w:hanging="425"/>
        <w:rPr>
          <w:szCs w:val="18"/>
        </w:rPr>
      </w:pPr>
      <w:r w:rsidRPr="0035493E">
        <w:rPr>
          <w:szCs w:val="18"/>
          <w:lang w:val="en-US"/>
        </w:rPr>
        <w:t>When it is made, the count rate from one capsule is 600 per minute.</w:t>
      </w:r>
    </w:p>
    <w:p w:rsidR="0035493E" w:rsidRPr="0035493E" w:rsidRDefault="0035493E" w:rsidP="0035493E">
      <w:pPr>
        <w:spacing w:line="276" w:lineRule="auto"/>
        <w:ind w:left="425" w:hanging="425"/>
        <w:rPr>
          <w:szCs w:val="18"/>
        </w:rPr>
      </w:pPr>
      <w:r w:rsidRPr="0035493E">
        <w:rPr>
          <w:szCs w:val="18"/>
          <w:lang w:val="en-US"/>
        </w:rPr>
        <w:t xml:space="preserve">After 16 days in storage, the capsule weighs the same. </w:t>
      </w:r>
    </w:p>
    <w:p w:rsidR="001D125F" w:rsidRPr="0035493E" w:rsidRDefault="0035493E" w:rsidP="0035493E">
      <w:pPr>
        <w:spacing w:before="120" w:after="120"/>
        <w:ind w:left="425" w:hanging="425"/>
        <w:rPr>
          <w:sz w:val="28"/>
          <w:szCs w:val="18"/>
          <w:lang w:val="en-US"/>
        </w:rPr>
      </w:pPr>
      <w:r w:rsidRPr="0035493E">
        <w:rPr>
          <w:b/>
          <w:szCs w:val="18"/>
          <w:lang w:val="en-US"/>
        </w:rPr>
        <w:t xml:space="preserve"> </w:t>
      </w:r>
      <w:r w:rsidRPr="0035493E">
        <w:rPr>
          <w:b/>
          <w:sz w:val="28"/>
          <w:szCs w:val="18"/>
          <w:lang w:val="en-US"/>
        </w:rPr>
        <w:t>1.</w:t>
      </w:r>
      <w:r>
        <w:rPr>
          <w:sz w:val="28"/>
          <w:szCs w:val="18"/>
          <w:lang w:val="en-US"/>
        </w:rPr>
        <w:tab/>
        <w:t>What will its count rate be after 16 days</w:t>
      </w:r>
      <w:r w:rsidR="001D125F" w:rsidRPr="0035493E">
        <w:rPr>
          <w:sz w:val="28"/>
          <w:szCs w:val="18"/>
          <w:lang w:val="en-US"/>
        </w:rPr>
        <w:t>?</w:t>
      </w:r>
    </w:p>
    <w:p w:rsidR="007B18B8" w:rsidRPr="00FB2831" w:rsidRDefault="007B18B8" w:rsidP="0035493E">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23911" w:rsidRDefault="0035493E" w:rsidP="00677EDD">
            <w:pPr>
              <w:tabs>
                <w:tab w:val="right" w:leader="dot" w:pos="8680"/>
              </w:tabs>
            </w:pPr>
            <w:r>
              <w:t>600 per minute.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C23911" w:rsidRDefault="0035493E" w:rsidP="00677EDD">
            <w:pPr>
              <w:tabs>
                <w:tab w:val="right" w:leader="dot" w:pos="8680"/>
              </w:tabs>
            </w:pPr>
            <w:r>
              <w:t>150 per minute.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bookmarkStart w:id="0" w:name="_Hlk94701925"/>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C23911" w:rsidRDefault="0035493E" w:rsidP="00677EDD">
            <w:pPr>
              <w:tabs>
                <w:tab w:val="right" w:leader="dot" w:pos="8680"/>
              </w:tabs>
            </w:pPr>
            <w:r>
              <w:t>0 per minute.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bookmarkEnd w:id="0"/>
      <w:tr w:rsidR="001D125F" w:rsidRPr="001D125F" w:rsidTr="000A7438">
        <w:trPr>
          <w:cantSplit/>
          <w:trHeight w:hRule="exact" w:val="170"/>
        </w:trPr>
        <w:tc>
          <w:tcPr>
            <w:tcW w:w="567" w:type="dxa"/>
            <w:vAlign w:val="center"/>
          </w:tcPr>
          <w:p w:rsidR="001D125F" w:rsidRPr="001D125F" w:rsidRDefault="001D125F" w:rsidP="001D125F">
            <w:pPr>
              <w:spacing w:after="240"/>
              <w:rPr>
                <w:b/>
                <w:szCs w:val="18"/>
              </w:rPr>
            </w:pPr>
          </w:p>
        </w:tc>
        <w:tc>
          <w:tcPr>
            <w:tcW w:w="7655" w:type="dxa"/>
          </w:tcPr>
          <w:p w:rsidR="001D125F" w:rsidRPr="001D125F" w:rsidRDefault="001D125F" w:rsidP="001D125F">
            <w:pPr>
              <w:spacing w:after="240"/>
              <w:rPr>
                <w:szCs w:val="18"/>
              </w:rPr>
            </w:pPr>
          </w:p>
        </w:tc>
        <w:tc>
          <w:tcPr>
            <w:tcW w:w="567" w:type="dxa"/>
            <w:tcBorders>
              <w:top w:val="single" w:sz="4" w:space="0" w:color="auto"/>
              <w:bottom w:val="single" w:sz="4" w:space="0" w:color="auto"/>
            </w:tcBorders>
          </w:tcPr>
          <w:p w:rsidR="001D125F" w:rsidRPr="001D125F" w:rsidRDefault="001D125F" w:rsidP="001D125F">
            <w:pPr>
              <w:spacing w:after="240"/>
              <w:rPr>
                <w:szCs w:val="18"/>
              </w:rPr>
            </w:pPr>
          </w:p>
        </w:tc>
      </w:tr>
      <w:tr w:rsidR="001D125F" w:rsidRPr="001D125F" w:rsidTr="000A7438">
        <w:trPr>
          <w:cantSplit/>
          <w:trHeight w:hRule="exact" w:val="567"/>
        </w:trPr>
        <w:tc>
          <w:tcPr>
            <w:tcW w:w="567" w:type="dxa"/>
            <w:vAlign w:val="center"/>
          </w:tcPr>
          <w:p w:rsidR="001D125F" w:rsidRPr="001D125F" w:rsidRDefault="001D125F" w:rsidP="001D125F">
            <w:pPr>
              <w:jc w:val="center"/>
              <w:rPr>
                <w:b/>
                <w:szCs w:val="18"/>
              </w:rPr>
            </w:pPr>
            <w:r>
              <w:rPr>
                <w:b/>
                <w:szCs w:val="18"/>
              </w:rPr>
              <w:t>D</w:t>
            </w:r>
          </w:p>
        </w:tc>
        <w:tc>
          <w:tcPr>
            <w:tcW w:w="7655" w:type="dxa"/>
            <w:tcBorders>
              <w:right w:val="single" w:sz="4" w:space="0" w:color="auto"/>
            </w:tcBorders>
            <w:vAlign w:val="center"/>
          </w:tcPr>
          <w:p w:rsidR="001D125F" w:rsidRPr="001D125F" w:rsidRDefault="0035493E" w:rsidP="001D125F">
            <w:pPr>
              <w:rPr>
                <w:szCs w:val="18"/>
              </w:rPr>
            </w:pPr>
            <w:r>
              <w:rPr>
                <w:szCs w:val="18"/>
              </w:rPr>
              <w:t>Impossible to know.</w:t>
            </w:r>
          </w:p>
        </w:tc>
        <w:tc>
          <w:tcPr>
            <w:tcW w:w="567" w:type="dxa"/>
            <w:tcBorders>
              <w:top w:val="single" w:sz="4" w:space="0" w:color="auto"/>
              <w:left w:val="single" w:sz="4" w:space="0" w:color="auto"/>
              <w:bottom w:val="single" w:sz="4" w:space="0" w:color="auto"/>
              <w:right w:val="single" w:sz="4" w:space="0" w:color="auto"/>
            </w:tcBorders>
          </w:tcPr>
          <w:p w:rsidR="001D125F" w:rsidRPr="001D125F" w:rsidRDefault="001D125F" w:rsidP="001D125F">
            <w:pPr>
              <w:spacing w:after="240"/>
              <w:rPr>
                <w:szCs w:val="18"/>
              </w:rPr>
            </w:pPr>
          </w:p>
        </w:tc>
      </w:tr>
    </w:tbl>
    <w:p w:rsidR="00201AC2" w:rsidRDefault="00201AC2" w:rsidP="006F3279">
      <w:pPr>
        <w:spacing w:after="240"/>
        <w:rPr>
          <w:szCs w:val="18"/>
        </w:rPr>
      </w:pPr>
    </w:p>
    <w:p w:rsidR="0035493E" w:rsidRPr="0035493E" w:rsidRDefault="0035493E" w:rsidP="0035493E">
      <w:pPr>
        <w:spacing w:before="120" w:after="120"/>
        <w:ind w:left="425" w:hanging="425"/>
        <w:rPr>
          <w:szCs w:val="18"/>
        </w:rPr>
      </w:pPr>
      <w:r w:rsidRPr="0035493E">
        <w:rPr>
          <w:szCs w:val="18"/>
          <w:lang w:val="en-US"/>
        </w:rPr>
        <w:t xml:space="preserve">The count rate from one capsule is measured </w:t>
      </w:r>
      <w:r>
        <w:rPr>
          <w:szCs w:val="18"/>
          <w:lang w:val="en-US"/>
        </w:rPr>
        <w:t>at</w:t>
      </w:r>
      <w:r w:rsidRPr="0035493E">
        <w:rPr>
          <w:szCs w:val="18"/>
          <w:lang w:val="en-US"/>
        </w:rPr>
        <w:t xml:space="preserve"> 400 per minute.</w:t>
      </w:r>
    </w:p>
    <w:p w:rsidR="0035493E" w:rsidRPr="0035493E" w:rsidRDefault="0035493E" w:rsidP="0035493E">
      <w:pPr>
        <w:spacing w:before="120" w:after="120"/>
        <w:ind w:left="425" w:hanging="425"/>
        <w:rPr>
          <w:sz w:val="28"/>
          <w:szCs w:val="18"/>
          <w:lang w:val="en-US"/>
        </w:rPr>
      </w:pPr>
      <w:r w:rsidRPr="0035493E">
        <w:rPr>
          <w:b/>
          <w:sz w:val="28"/>
          <w:szCs w:val="18"/>
          <w:lang w:val="en-US"/>
        </w:rPr>
        <w:t>2.</w:t>
      </w:r>
      <w:r>
        <w:rPr>
          <w:sz w:val="28"/>
          <w:szCs w:val="18"/>
          <w:lang w:val="en-US"/>
        </w:rPr>
        <w:tab/>
      </w:r>
      <w:r w:rsidRPr="0035493E">
        <w:rPr>
          <w:sz w:val="28"/>
          <w:szCs w:val="18"/>
          <w:lang w:val="en-US"/>
        </w:rPr>
        <w:t>How long will it be before the count rate is 50 per minute?</w:t>
      </w:r>
    </w:p>
    <w:p w:rsidR="0035493E" w:rsidRPr="00FB2831" w:rsidRDefault="0035493E" w:rsidP="0035493E">
      <w:pPr>
        <w:spacing w:after="240"/>
        <w:ind w:left="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35493E" w:rsidRPr="00AE07E9" w:rsidTr="00861524">
        <w:trPr>
          <w:cantSplit/>
          <w:trHeight w:hRule="exact" w:val="567"/>
        </w:trPr>
        <w:tc>
          <w:tcPr>
            <w:tcW w:w="567" w:type="dxa"/>
            <w:vAlign w:val="center"/>
          </w:tcPr>
          <w:p w:rsidR="0035493E" w:rsidRPr="00AE07E9" w:rsidRDefault="0035493E" w:rsidP="00861524">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35493E" w:rsidRPr="00C23911" w:rsidRDefault="0035493E" w:rsidP="00861524">
            <w:pPr>
              <w:tabs>
                <w:tab w:val="right" w:leader="dot" w:pos="8680"/>
              </w:tabs>
            </w:pPr>
            <w:r>
              <w:t>24 days.</w:t>
            </w:r>
          </w:p>
        </w:tc>
        <w:tc>
          <w:tcPr>
            <w:tcW w:w="567" w:type="dxa"/>
            <w:tcBorders>
              <w:top w:val="single" w:sz="4" w:space="0" w:color="auto"/>
              <w:left w:val="single" w:sz="4" w:space="0" w:color="auto"/>
              <w:bottom w:val="single" w:sz="4" w:space="0" w:color="auto"/>
              <w:right w:val="single" w:sz="4" w:space="0" w:color="auto"/>
            </w:tcBorders>
          </w:tcPr>
          <w:p w:rsidR="0035493E" w:rsidRPr="00AE07E9" w:rsidRDefault="0035493E" w:rsidP="00861524">
            <w:pPr>
              <w:tabs>
                <w:tab w:val="right" w:leader="dot" w:pos="8680"/>
              </w:tabs>
              <w:rPr>
                <w:rFonts w:eastAsia="Times New Roman" w:cs="Times New Roman"/>
                <w:lang w:eastAsia="en-GB"/>
              </w:rPr>
            </w:pPr>
          </w:p>
        </w:tc>
      </w:tr>
      <w:tr w:rsidR="0035493E" w:rsidRPr="00AE07E9" w:rsidTr="00861524">
        <w:trPr>
          <w:cantSplit/>
          <w:trHeight w:hRule="exact" w:val="170"/>
        </w:trPr>
        <w:tc>
          <w:tcPr>
            <w:tcW w:w="567" w:type="dxa"/>
            <w:vAlign w:val="center"/>
          </w:tcPr>
          <w:p w:rsidR="0035493E" w:rsidRPr="00AE07E9" w:rsidRDefault="0035493E" w:rsidP="00861524">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35493E" w:rsidRPr="00C23911" w:rsidRDefault="0035493E" w:rsidP="0086152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5493E" w:rsidRPr="00AE07E9" w:rsidRDefault="0035493E" w:rsidP="00861524">
            <w:pPr>
              <w:tabs>
                <w:tab w:val="right" w:leader="dot" w:pos="8680"/>
              </w:tabs>
              <w:rPr>
                <w:rFonts w:eastAsia="Times New Roman" w:cs="Times New Roman"/>
                <w:lang w:eastAsia="en-GB"/>
              </w:rPr>
            </w:pPr>
          </w:p>
        </w:tc>
      </w:tr>
      <w:tr w:rsidR="0035493E" w:rsidRPr="00AE07E9" w:rsidTr="00861524">
        <w:trPr>
          <w:cantSplit/>
          <w:trHeight w:hRule="exact" w:val="567"/>
        </w:trPr>
        <w:tc>
          <w:tcPr>
            <w:tcW w:w="567" w:type="dxa"/>
            <w:vAlign w:val="center"/>
          </w:tcPr>
          <w:p w:rsidR="0035493E" w:rsidRPr="00AE07E9" w:rsidRDefault="0035493E" w:rsidP="00861524">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35493E" w:rsidRPr="00C23911" w:rsidRDefault="0035493E" w:rsidP="00861524">
            <w:pPr>
              <w:tabs>
                <w:tab w:val="right" w:leader="dot" w:pos="8680"/>
              </w:tabs>
            </w:pPr>
            <w:r>
              <w:t>14 days.</w:t>
            </w:r>
          </w:p>
        </w:tc>
        <w:tc>
          <w:tcPr>
            <w:tcW w:w="567" w:type="dxa"/>
            <w:tcBorders>
              <w:top w:val="single" w:sz="4" w:space="0" w:color="auto"/>
              <w:left w:val="single" w:sz="4" w:space="0" w:color="auto"/>
              <w:bottom w:val="single" w:sz="4" w:space="0" w:color="auto"/>
              <w:right w:val="single" w:sz="4" w:space="0" w:color="auto"/>
            </w:tcBorders>
          </w:tcPr>
          <w:p w:rsidR="0035493E" w:rsidRPr="00AE07E9" w:rsidRDefault="0035493E" w:rsidP="00861524">
            <w:pPr>
              <w:tabs>
                <w:tab w:val="right" w:leader="dot" w:pos="8680"/>
              </w:tabs>
              <w:rPr>
                <w:rFonts w:eastAsia="Times New Roman" w:cs="Times New Roman"/>
                <w:lang w:eastAsia="en-GB"/>
              </w:rPr>
            </w:pPr>
          </w:p>
        </w:tc>
      </w:tr>
      <w:tr w:rsidR="0035493E" w:rsidRPr="00AE07E9" w:rsidTr="00861524">
        <w:trPr>
          <w:cantSplit/>
          <w:trHeight w:hRule="exact" w:val="170"/>
        </w:trPr>
        <w:tc>
          <w:tcPr>
            <w:tcW w:w="567" w:type="dxa"/>
            <w:vAlign w:val="center"/>
          </w:tcPr>
          <w:p w:rsidR="0035493E" w:rsidRPr="00AE07E9" w:rsidRDefault="0035493E" w:rsidP="00861524">
            <w:pPr>
              <w:tabs>
                <w:tab w:val="right" w:leader="dot" w:pos="8680"/>
              </w:tabs>
              <w:jc w:val="center"/>
              <w:rPr>
                <w:rFonts w:eastAsia="Times New Roman" w:cs="Times New Roman"/>
                <w:b/>
                <w:lang w:eastAsia="en-GB"/>
              </w:rPr>
            </w:pPr>
          </w:p>
        </w:tc>
        <w:tc>
          <w:tcPr>
            <w:tcW w:w="7655" w:type="dxa"/>
          </w:tcPr>
          <w:p w:rsidR="0035493E" w:rsidRPr="00C23911" w:rsidRDefault="0035493E" w:rsidP="00861524">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35493E" w:rsidRPr="00AE07E9" w:rsidRDefault="0035493E" w:rsidP="00861524">
            <w:pPr>
              <w:tabs>
                <w:tab w:val="right" w:leader="dot" w:pos="8680"/>
              </w:tabs>
              <w:rPr>
                <w:rFonts w:eastAsia="Times New Roman" w:cs="Times New Roman"/>
                <w:lang w:eastAsia="en-GB"/>
              </w:rPr>
            </w:pPr>
          </w:p>
        </w:tc>
      </w:tr>
      <w:tr w:rsidR="0035493E" w:rsidRPr="00AE07E9" w:rsidTr="00861524">
        <w:trPr>
          <w:cantSplit/>
          <w:trHeight w:hRule="exact" w:val="567"/>
        </w:trPr>
        <w:tc>
          <w:tcPr>
            <w:tcW w:w="567" w:type="dxa"/>
            <w:vAlign w:val="center"/>
          </w:tcPr>
          <w:p w:rsidR="0035493E" w:rsidRPr="00AE07E9" w:rsidRDefault="0035493E" w:rsidP="00861524">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35493E" w:rsidRPr="00C23911" w:rsidRDefault="0035493E" w:rsidP="00861524">
            <w:pPr>
              <w:tabs>
                <w:tab w:val="right" w:leader="dot" w:pos="8680"/>
              </w:tabs>
            </w:pPr>
            <w:r>
              <w:t>7 days.</w:t>
            </w:r>
          </w:p>
        </w:tc>
        <w:tc>
          <w:tcPr>
            <w:tcW w:w="567" w:type="dxa"/>
            <w:tcBorders>
              <w:top w:val="single" w:sz="4" w:space="0" w:color="auto"/>
              <w:left w:val="single" w:sz="4" w:space="0" w:color="auto"/>
              <w:bottom w:val="single" w:sz="4" w:space="0" w:color="auto"/>
              <w:right w:val="single" w:sz="4" w:space="0" w:color="auto"/>
            </w:tcBorders>
          </w:tcPr>
          <w:p w:rsidR="0035493E" w:rsidRPr="00AE07E9" w:rsidRDefault="0035493E" w:rsidP="00861524">
            <w:pPr>
              <w:tabs>
                <w:tab w:val="right" w:leader="dot" w:pos="8680"/>
              </w:tabs>
              <w:rPr>
                <w:rFonts w:eastAsia="Times New Roman" w:cs="Times New Roman"/>
                <w:lang w:eastAsia="en-GB"/>
              </w:rPr>
            </w:pPr>
          </w:p>
        </w:tc>
      </w:tr>
      <w:tr w:rsidR="0035493E" w:rsidRPr="001D125F" w:rsidTr="00861524">
        <w:trPr>
          <w:cantSplit/>
          <w:trHeight w:hRule="exact" w:val="170"/>
        </w:trPr>
        <w:tc>
          <w:tcPr>
            <w:tcW w:w="567" w:type="dxa"/>
            <w:vAlign w:val="center"/>
          </w:tcPr>
          <w:p w:rsidR="0035493E" w:rsidRPr="001D125F" w:rsidRDefault="0035493E" w:rsidP="00861524">
            <w:pPr>
              <w:spacing w:after="240"/>
              <w:rPr>
                <w:b/>
                <w:szCs w:val="18"/>
              </w:rPr>
            </w:pPr>
          </w:p>
        </w:tc>
        <w:tc>
          <w:tcPr>
            <w:tcW w:w="7655" w:type="dxa"/>
          </w:tcPr>
          <w:p w:rsidR="0035493E" w:rsidRPr="001D125F" w:rsidRDefault="0035493E" w:rsidP="00861524">
            <w:pPr>
              <w:spacing w:after="240"/>
              <w:rPr>
                <w:szCs w:val="18"/>
              </w:rPr>
            </w:pPr>
          </w:p>
        </w:tc>
        <w:tc>
          <w:tcPr>
            <w:tcW w:w="567" w:type="dxa"/>
            <w:tcBorders>
              <w:top w:val="single" w:sz="4" w:space="0" w:color="auto"/>
              <w:bottom w:val="single" w:sz="4" w:space="0" w:color="auto"/>
            </w:tcBorders>
          </w:tcPr>
          <w:p w:rsidR="0035493E" w:rsidRPr="001D125F" w:rsidRDefault="0035493E" w:rsidP="00861524">
            <w:pPr>
              <w:spacing w:after="240"/>
              <w:rPr>
                <w:szCs w:val="18"/>
              </w:rPr>
            </w:pPr>
          </w:p>
        </w:tc>
      </w:tr>
      <w:tr w:rsidR="0035493E" w:rsidRPr="001D125F" w:rsidTr="00861524">
        <w:trPr>
          <w:cantSplit/>
          <w:trHeight w:hRule="exact" w:val="567"/>
        </w:trPr>
        <w:tc>
          <w:tcPr>
            <w:tcW w:w="567" w:type="dxa"/>
            <w:vAlign w:val="center"/>
          </w:tcPr>
          <w:p w:rsidR="0035493E" w:rsidRPr="001D125F" w:rsidRDefault="0035493E" w:rsidP="00861524">
            <w:pPr>
              <w:jc w:val="center"/>
              <w:rPr>
                <w:b/>
                <w:szCs w:val="18"/>
              </w:rPr>
            </w:pPr>
            <w:r>
              <w:rPr>
                <w:b/>
                <w:szCs w:val="18"/>
              </w:rPr>
              <w:t>D</w:t>
            </w:r>
          </w:p>
        </w:tc>
        <w:tc>
          <w:tcPr>
            <w:tcW w:w="7655" w:type="dxa"/>
            <w:tcBorders>
              <w:right w:val="single" w:sz="4" w:space="0" w:color="auto"/>
            </w:tcBorders>
            <w:vAlign w:val="center"/>
          </w:tcPr>
          <w:p w:rsidR="0035493E" w:rsidRPr="001D125F" w:rsidRDefault="0035493E" w:rsidP="00861524">
            <w:pPr>
              <w:rPr>
                <w:szCs w:val="18"/>
              </w:rPr>
            </w:pPr>
            <w:r>
              <w:rPr>
                <w:szCs w:val="18"/>
              </w:rPr>
              <w:t>Impossible to know.</w:t>
            </w:r>
          </w:p>
        </w:tc>
        <w:tc>
          <w:tcPr>
            <w:tcW w:w="567" w:type="dxa"/>
            <w:tcBorders>
              <w:top w:val="single" w:sz="4" w:space="0" w:color="auto"/>
              <w:left w:val="single" w:sz="4" w:space="0" w:color="auto"/>
              <w:bottom w:val="single" w:sz="4" w:space="0" w:color="auto"/>
              <w:right w:val="single" w:sz="4" w:space="0" w:color="auto"/>
            </w:tcBorders>
          </w:tcPr>
          <w:p w:rsidR="0035493E" w:rsidRPr="001D125F" w:rsidRDefault="0035493E" w:rsidP="00861524">
            <w:pPr>
              <w:spacing w:after="240"/>
              <w:rPr>
                <w:szCs w:val="18"/>
              </w:rPr>
            </w:pPr>
          </w:p>
        </w:tc>
      </w:tr>
    </w:tbl>
    <w:p w:rsidR="0035493E" w:rsidRPr="00201AC2" w:rsidRDefault="0035493E" w:rsidP="006F3279">
      <w:pPr>
        <w:spacing w:after="240"/>
        <w:rPr>
          <w:szCs w:val="18"/>
        </w:rPr>
        <w:sectPr w:rsidR="0035493E"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E90654">
        <w:rPr>
          <w:i/>
          <w:sz w:val="18"/>
          <w:szCs w:val="18"/>
        </w:rPr>
        <w:lastRenderedPageBreak/>
        <w:t>Physics</w:t>
      </w:r>
      <w:r w:rsidR="006F3279" w:rsidRPr="00E90654">
        <w:rPr>
          <w:i/>
          <w:sz w:val="18"/>
          <w:szCs w:val="18"/>
        </w:rPr>
        <w:t xml:space="preserve"> &gt; </w:t>
      </w:r>
      <w:r w:rsidR="0007651D" w:rsidRPr="00E90654">
        <w:rPr>
          <w:i/>
          <w:sz w:val="18"/>
          <w:szCs w:val="18"/>
        </w:rPr>
        <w:t xml:space="preserve">Big idea </w:t>
      </w:r>
      <w:r w:rsidRPr="00E90654">
        <w:rPr>
          <w:i/>
          <w:sz w:val="18"/>
          <w:szCs w:val="18"/>
        </w:rPr>
        <w:t>P</w:t>
      </w:r>
      <w:r w:rsidR="00E90654" w:rsidRPr="00E90654">
        <w:rPr>
          <w:i/>
          <w:sz w:val="18"/>
          <w:szCs w:val="18"/>
        </w:rPr>
        <w:t>MA</w:t>
      </w:r>
      <w:r w:rsidR="0007651D" w:rsidRPr="00E90654">
        <w:rPr>
          <w:i/>
          <w:sz w:val="18"/>
          <w:szCs w:val="18"/>
        </w:rPr>
        <w:t xml:space="preserve">: </w:t>
      </w:r>
      <w:r w:rsidR="00E90654" w:rsidRPr="00E90654">
        <w:rPr>
          <w:i/>
          <w:sz w:val="18"/>
          <w:szCs w:val="18"/>
        </w:rPr>
        <w:t>Matter</w:t>
      </w:r>
      <w:r w:rsidR="0007651D" w:rsidRPr="00E90654">
        <w:rPr>
          <w:i/>
          <w:sz w:val="18"/>
          <w:szCs w:val="18"/>
        </w:rPr>
        <w:t xml:space="preserve"> &gt; Topic </w:t>
      </w:r>
      <w:r w:rsidRPr="00E90654">
        <w:rPr>
          <w:i/>
          <w:sz w:val="18"/>
          <w:szCs w:val="18"/>
        </w:rPr>
        <w:t>P</w:t>
      </w:r>
      <w:r w:rsidR="00E90654" w:rsidRPr="00E90654">
        <w:rPr>
          <w:i/>
          <w:sz w:val="18"/>
          <w:szCs w:val="18"/>
        </w:rPr>
        <w:t>MA5</w:t>
      </w:r>
      <w:r w:rsidR="0007651D" w:rsidRPr="00E90654">
        <w:rPr>
          <w:i/>
          <w:sz w:val="18"/>
          <w:szCs w:val="18"/>
        </w:rPr>
        <w:t xml:space="preserve">: </w:t>
      </w:r>
      <w:r w:rsidR="00E90654" w:rsidRPr="00E90654">
        <w:rPr>
          <w:i/>
          <w:sz w:val="18"/>
          <w:szCs w:val="18"/>
        </w:rPr>
        <w:t>Nuclear physics</w:t>
      </w:r>
      <w:r w:rsidR="006F3279" w:rsidRPr="00E90654">
        <w:rPr>
          <w:i/>
          <w:sz w:val="18"/>
          <w:szCs w:val="18"/>
        </w:rPr>
        <w:t xml:space="preserve"> &gt; </w:t>
      </w:r>
      <w:r w:rsidR="0007651D" w:rsidRPr="00E90654">
        <w:rPr>
          <w:i/>
          <w:sz w:val="18"/>
          <w:szCs w:val="18"/>
        </w:rPr>
        <w:t>Key concept</w:t>
      </w:r>
      <w:r w:rsidR="006F3279" w:rsidRPr="00E90654">
        <w:rPr>
          <w:i/>
          <w:sz w:val="18"/>
          <w:szCs w:val="18"/>
        </w:rPr>
        <w:t xml:space="preserve"> </w:t>
      </w:r>
      <w:r w:rsidR="00E90654" w:rsidRPr="00E90654">
        <w:rPr>
          <w:i/>
          <w:sz w:val="18"/>
          <w:szCs w:val="18"/>
        </w:rPr>
        <w:t>PMA5.4</w:t>
      </w:r>
      <w:r w:rsidR="006F3279" w:rsidRPr="00E90654">
        <w:rPr>
          <w:i/>
          <w:sz w:val="18"/>
          <w:szCs w:val="18"/>
        </w:rPr>
        <w:t xml:space="preserve">: </w:t>
      </w:r>
      <w:r w:rsidR="00E90654" w:rsidRPr="00E90654">
        <w:rPr>
          <w:i/>
          <w:sz w:val="18"/>
          <w:szCs w:val="18"/>
        </w:rPr>
        <w:t>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A78D3" w:rsidP="006F3279">
            <w:pPr>
              <w:spacing w:after="60"/>
              <w:ind w:left="1304"/>
              <w:rPr>
                <w:b/>
                <w:sz w:val="40"/>
                <w:szCs w:val="40"/>
              </w:rPr>
            </w:pPr>
            <w:r>
              <w:rPr>
                <w:b/>
                <w:sz w:val="40"/>
                <w:szCs w:val="40"/>
              </w:rPr>
              <w:t>Predicting radioactivity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90654" w:rsidP="0007651D">
            <w:pPr>
              <w:spacing w:before="60" w:after="60"/>
            </w:pPr>
            <w:r w:rsidRPr="00E90654">
              <w:t>Radioactive half-life is the predicted time it takes for half of a large sample of radioactive nuclei to decay randomly.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902B25" w:rsidRDefault="006A78D3" w:rsidP="0007651D">
            <w:pPr>
              <w:spacing w:before="60" w:after="60"/>
              <w:rPr>
                <w:b/>
              </w:rPr>
            </w:pPr>
            <w:r w:rsidRPr="006A78D3">
              <w:rPr>
                <w:rFonts w:cstheme="minorHAnsi"/>
                <w:szCs w:val="20"/>
              </w:rPr>
              <w:t>Make calculations using values of half-life.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43FF7" w:rsidP="000505CA">
            <w:pPr>
              <w:spacing w:before="60" w:after="60"/>
            </w:pPr>
            <w:r>
              <w:t>Half-life, radioactive atom, radioactive isotope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114D8" w:rsidRDefault="00C114D8" w:rsidP="00C114D8">
      <w:pPr>
        <w:spacing w:after="60"/>
      </w:pPr>
      <w:r>
        <w:t>Misunderstandings that may stem from a thinking that ‘only clearly determined events can lead to predictable outcomes’ are:</w:t>
      </w:r>
    </w:p>
    <w:p w:rsidR="00C114D8" w:rsidRDefault="00C114D8" w:rsidP="00CA116F">
      <w:pPr>
        <w:pStyle w:val="ListParagraph"/>
        <w:numPr>
          <w:ilvl w:val="0"/>
          <w:numId w:val="5"/>
        </w:numPr>
        <w:spacing w:after="180"/>
        <w:ind w:left="567" w:hanging="425"/>
      </w:pPr>
      <w:r>
        <w:t xml:space="preserve">a radioactive material will be safe and no longer radioactive after one half-life </w:t>
      </w:r>
      <w:r>
        <w:fldChar w:fldCharType="begin"/>
      </w:r>
      <w:r>
        <w:instrText xml:space="preserve"> ADDIN EN.CITE &lt;EndNote&gt;&lt;Cite&gt;&lt;Author&gt;Lijnse&lt;/Author&gt;&lt;Year&gt;1990&lt;/Year&gt;&lt;IDText&gt;Pupils&amp;apos; and mass-media ideas about radioactivity&lt;/IDText&gt;&lt;DisplayText&gt;(Lijnse et al., 1990)&lt;/DisplayText&gt;&lt;record&gt;&lt;titles&gt;&lt;title&gt;Pupils&amp;apos; and mass-media ideas about radioactivity&lt;/title&gt;&lt;secondary-title&gt;International Journal of Science Education&lt;/secondary-title&gt;&lt;/titles&gt;&lt;contributors&gt;&lt;authors&gt;&lt;author&gt;Lijnse, P. L&lt;/author&gt;&lt;author&gt;Eijkelhof, H. M. C&lt;/author&gt;&lt;author&gt;Klaassen, C. W. J. M&lt;/author&gt;&lt;author&gt;Scholte, R. L. J&lt;/author&gt;&lt;/authors&gt;&lt;/contributors&gt;&lt;section&gt;67-78&lt;/section&gt;&lt;added-date format="utc"&gt;1641981686&lt;/added-date&gt;&lt;ref-type name="Journal Article"&gt;17&lt;/ref-type&gt;&lt;dates&gt;&lt;year&gt;1990&lt;/year&gt;&lt;/dates&gt;&lt;rec-number&gt;377&lt;/rec-number&gt;&lt;last-updated-date format="utc"&gt;1641981857&lt;/last-updated-date&gt;&lt;volume&gt;12.1&lt;/volume&gt;&lt;/record&gt;&lt;/Cite&gt;&lt;/EndNote&gt;</w:instrText>
      </w:r>
      <w:r>
        <w:fldChar w:fldCharType="separate"/>
      </w:r>
      <w:r>
        <w:rPr>
          <w:noProof/>
        </w:rPr>
        <w:t>(Lijnse et al., 1990)</w:t>
      </w:r>
      <w:r>
        <w:fldChar w:fldCharType="end"/>
      </w:r>
      <w:r>
        <w:t>;</w:t>
      </w:r>
    </w:p>
    <w:p w:rsidR="00C114D8" w:rsidRDefault="00C114D8" w:rsidP="00CA116F">
      <w:pPr>
        <w:pStyle w:val="ListParagraph"/>
        <w:numPr>
          <w:ilvl w:val="0"/>
          <w:numId w:val="5"/>
        </w:numPr>
        <w:spacing w:after="180"/>
        <w:ind w:left="567" w:hanging="425"/>
      </w:pPr>
      <w:r w:rsidRPr="00576EE0">
        <w:rPr>
          <w:i/>
        </w:rPr>
        <w:t>all</w:t>
      </w:r>
      <w:r>
        <w:t xml:space="preserve"> the radioactive atoms will have decayed after one half-life (or after </w:t>
      </w:r>
      <w:r w:rsidRPr="00576EE0">
        <w:rPr>
          <w:i/>
        </w:rPr>
        <w:t>two</w:t>
      </w:r>
      <w:r>
        <w:t xml:space="preserve"> half-lives); and </w:t>
      </w:r>
    </w:p>
    <w:p w:rsidR="00C114D8" w:rsidRDefault="00C114D8" w:rsidP="00CA116F">
      <w:pPr>
        <w:pStyle w:val="ListParagraph"/>
        <w:numPr>
          <w:ilvl w:val="0"/>
          <w:numId w:val="5"/>
        </w:numPr>
        <w:spacing w:after="180"/>
        <w:ind w:left="567" w:hanging="425"/>
      </w:pPr>
      <w:r>
        <w:t xml:space="preserve">half-life is a special time before which, or at which, a particular nucleus decays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w:t>
      </w:r>
    </w:p>
    <w:p w:rsidR="00C114D8" w:rsidRDefault="00C114D8" w:rsidP="00C114D8">
      <w:pPr>
        <w:spacing w:after="180"/>
      </w:pPr>
      <w:r>
        <w:t xml:space="preserve">In each of these examples, students appear to have used the idea that ‘half-life’ is predictable, to develop a misunderstanding that the decay of particular radioactive atoms is also predictable. The last example additionally shows how some students (about a third of a sample of 55 students age 13-14) ascribe the predictive nature of a whole sample to a single radioactive nucleus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fact, an individual radioactive nucleus does not have a half-life and its decay is random. Half-life is instead, a </w:t>
      </w:r>
      <w:r>
        <w:rPr>
          <w:i/>
        </w:rPr>
        <w:t>good predictor</w:t>
      </w:r>
      <w:r>
        <w:t xml:space="preserve"> of the time it takes for half of a sample of </w:t>
      </w:r>
      <w:r>
        <w:rPr>
          <w:i/>
        </w:rPr>
        <w:t>very many</w:t>
      </w:r>
      <w:r>
        <w:t xml:space="preserve"> radioactive nuclei to decay. </w:t>
      </w:r>
    </w:p>
    <w:p w:rsidR="005E0B18" w:rsidRDefault="005E0B18" w:rsidP="005E0B18">
      <w:pPr>
        <w:spacing w:after="180"/>
      </w:pPr>
      <w:r>
        <w:t>Another misunderstanding students have is that atoms disappear during radioactive decay</w:t>
      </w:r>
      <w:r w:rsidR="001A6FA7">
        <w:t xml:space="preserve"> </w:t>
      </w:r>
      <w:r w:rsidR="001A6FA7">
        <w:fldChar w:fldCharType="begin"/>
      </w:r>
      <w:r w:rsidR="001A6FA7">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rsidR="001A6FA7">
        <w:fldChar w:fldCharType="separate"/>
      </w:r>
      <w:r w:rsidR="001A6FA7">
        <w:rPr>
          <w:noProof/>
        </w:rPr>
        <w:t>(Prather, 2005)</w:t>
      </w:r>
      <w:r w:rsidR="001A6FA7">
        <w:fldChar w:fldCharType="end"/>
      </w:r>
      <w:r>
        <w:t xml:space="preserve">.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the majority (59%) of (n=258) undergraduate students believed that the mass or volume of a radioactive substance would reduce by half during one half-life. Expressed differently, this means that a radioactive object disappears as it decays. This misunderstanding is likely to stem from the fact that is not clear to a lot of students that radioactive materials contain both stable and unstable atoms.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student to explain why they gave the answer they did; ask another student to explain why they </w:t>
      </w:r>
      <w:r w:rsidRPr="00816065">
        <w:rPr>
          <w:rFonts w:cstheme="minorHAnsi"/>
        </w:rPr>
        <w:lastRenderedPageBreak/>
        <w:t>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D15C5">
        <w:rPr>
          <w:rFonts w:cstheme="minorHAnsi"/>
        </w:rPr>
        <w:t>,</w:t>
      </w:r>
      <w:r w:rsidRPr="00AE7928">
        <w:rPr>
          <w:rFonts w:cstheme="minorHAnsi"/>
        </w:rPr>
        <w:t xml:space="preserve"> it may be more appropriate for a teaching assistant to read for one or two students.</w:t>
      </w:r>
    </w:p>
    <w:p w:rsidR="00E172C6" w:rsidRPr="004D15C5" w:rsidRDefault="00BB44B4" w:rsidP="00026DEC">
      <w:pPr>
        <w:spacing w:after="180"/>
        <w:rPr>
          <w:b/>
          <w:color w:val="5F497A" w:themeColor="accent4" w:themeShade="BF"/>
          <w:sz w:val="24"/>
        </w:rPr>
      </w:pPr>
      <w:r w:rsidRPr="004D15C5">
        <w:rPr>
          <w:b/>
          <w:color w:val="5F497A" w:themeColor="accent4" w:themeShade="BF"/>
          <w:sz w:val="24"/>
        </w:rPr>
        <w:t>Expected answers</w:t>
      </w:r>
    </w:p>
    <w:p w:rsidR="00BF6C8A" w:rsidRDefault="005E0B18" w:rsidP="005E0B18">
      <w:pPr>
        <w:tabs>
          <w:tab w:val="left" w:pos="1701"/>
          <w:tab w:val="left" w:pos="2127"/>
        </w:tabs>
        <w:spacing w:after="180"/>
        <w:ind w:left="426" w:hanging="426"/>
      </w:pPr>
      <w:r>
        <w:t>1.</w:t>
      </w:r>
      <w:r>
        <w:tab/>
        <w:t>B</w:t>
      </w:r>
      <w:r>
        <w:tab/>
        <w:t>2.</w:t>
      </w:r>
      <w:r>
        <w:tab/>
        <w:t>A</w:t>
      </w:r>
    </w:p>
    <w:p w:rsidR="003E609A" w:rsidRDefault="004C5D20" w:rsidP="00A01222">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9006BF" w:rsidRDefault="009006BF" w:rsidP="009006BF">
      <w:pPr>
        <w:spacing w:after="180"/>
        <w:ind w:left="426" w:hanging="426"/>
      </w:pPr>
      <w:r>
        <w:t xml:space="preserve">1. </w:t>
      </w:r>
      <w:r>
        <w:tab/>
      </w:r>
      <w:r w:rsidR="0028551D">
        <w:t>There are two half-lives during the 16 days. The original count rate is halved to 300 after 8 days, and halved again to 150 after another 8 days.</w:t>
      </w:r>
    </w:p>
    <w:p w:rsidR="00056CF4" w:rsidRPr="00E905A2" w:rsidRDefault="00056CF4" w:rsidP="009006BF">
      <w:pPr>
        <w:spacing w:after="180"/>
        <w:ind w:left="851" w:hanging="426"/>
      </w:pPr>
      <w:r w:rsidRPr="00E905A2">
        <w:t>A</w:t>
      </w:r>
      <w:r w:rsidRPr="00E905A2">
        <w:tab/>
      </w:r>
      <w:r w:rsidR="009006BF">
        <w:t>A few students may think wrongly that because it is in storage, the iodine-131 does not decay. Instead, its decay is random and cannot be controlled.</w:t>
      </w:r>
    </w:p>
    <w:p w:rsidR="00056CF4" w:rsidRDefault="009006BF" w:rsidP="009006BF">
      <w:pPr>
        <w:spacing w:after="180"/>
        <w:ind w:left="851" w:hanging="426"/>
      </w:pPr>
      <w:r>
        <w:t>C</w:t>
      </w:r>
      <w:r w:rsidR="00E905A2" w:rsidRPr="00E905A2">
        <w:tab/>
      </w:r>
      <w:r>
        <w:t>Some students may think wrongly that half of the iodine decays in one half-life and the other half of it in the second half-life. It is also quite common for some students to have the misunderstanding that a half-life is the time for all of a radioactive isotope to decay.</w:t>
      </w:r>
    </w:p>
    <w:p w:rsidR="00902B25" w:rsidRDefault="00902B25" w:rsidP="009006BF">
      <w:pPr>
        <w:spacing w:after="180"/>
        <w:ind w:left="851" w:hanging="426"/>
      </w:pPr>
      <w:r>
        <w:t>D</w:t>
      </w:r>
      <w:r>
        <w:tab/>
      </w:r>
      <w:r w:rsidR="009006BF">
        <w:t>A few students may have the misunderstanding that because radioactive decay is random, it is impossible to know for sure how quickly a sample will decay. In reality, because of the very large numbers of radioactive atoms involved, half-life predictions are very accurate.</w:t>
      </w:r>
    </w:p>
    <w:p w:rsidR="009006BF" w:rsidRDefault="009006BF" w:rsidP="00056CF4">
      <w:pPr>
        <w:spacing w:after="180"/>
        <w:ind w:left="426" w:hanging="426"/>
      </w:pPr>
      <w:r>
        <w:t>2.</w:t>
      </w:r>
      <w:r>
        <w:tab/>
      </w:r>
      <w:r w:rsidR="00B43227">
        <w:t>To change from 400 to 50 counts per minute, the count rate needs to halve from 400 to 200, from 200 to 100 and from 100 to 50, which is three half-lives. This takes 3 x 8 = 24 days.</w:t>
      </w:r>
    </w:p>
    <w:p w:rsidR="00B43227" w:rsidRDefault="00B43227" w:rsidP="00B43227">
      <w:pPr>
        <w:spacing w:after="180"/>
        <w:ind w:left="851" w:hanging="425"/>
      </w:pPr>
      <w:r>
        <w:t>B</w:t>
      </w:r>
      <w:r>
        <w:tab/>
        <w:t xml:space="preserve">Students who </w:t>
      </w:r>
      <w:r w:rsidR="00394A78">
        <w:t>have the misunderstanding</w:t>
      </w:r>
      <w:r>
        <w:t xml:space="preserve"> that it takes two half-lives for all of the iodine-131 to decay are l</w:t>
      </w:r>
      <w:r w:rsidR="00394A78">
        <w:t xml:space="preserve">ikely to </w:t>
      </w:r>
      <w:proofErr w:type="gramStart"/>
      <w:r w:rsidR="00394A78">
        <w:t>chose</w:t>
      </w:r>
      <w:proofErr w:type="gramEnd"/>
      <w:r w:rsidR="00394A78">
        <w:t xml:space="preserve"> this option which is just less than two half-lives (</w:t>
      </w:r>
      <w:bookmarkStart w:id="1" w:name="_GoBack"/>
      <w:bookmarkEnd w:id="1"/>
      <w:r w:rsidR="00394A78">
        <w:t>1¾ half-lives).</w:t>
      </w:r>
    </w:p>
    <w:p w:rsidR="00394A78" w:rsidRDefault="00394A78" w:rsidP="00B43227">
      <w:pPr>
        <w:spacing w:after="180"/>
        <w:ind w:left="851" w:hanging="425"/>
      </w:pPr>
      <w:r>
        <w:t xml:space="preserve">C </w:t>
      </w:r>
      <w:r>
        <w:tab/>
        <w:t>Students who have the misunderstanding that all of the iodine-131 decays in one half-life are likely to choose this option, which is just less than one half-life (</w:t>
      </w:r>
      <w:r>
        <w:rPr>
          <w:rFonts w:ascii="Verdana" w:hAnsi="Verdana"/>
        </w:rPr>
        <w:t>⅞</w:t>
      </w:r>
      <w:r>
        <w:t xml:space="preserve"> of a half-life).</w:t>
      </w:r>
    </w:p>
    <w:p w:rsidR="00394A78" w:rsidRPr="00E905A2" w:rsidRDefault="00394A78" w:rsidP="00394A78">
      <w:pPr>
        <w:spacing w:after="180"/>
        <w:ind w:left="851" w:hanging="426"/>
      </w:pPr>
      <w:r>
        <w:t>D</w:t>
      </w:r>
      <w:r>
        <w:tab/>
        <w:t xml:space="preserve">As with question 1, a few students may have the misunderstanding that because radioactive decay is random, it is impossible to know for sure how quickly a sample will decay. </w:t>
      </w:r>
    </w:p>
    <w:p w:rsidR="00394A78" w:rsidRDefault="00A01222" w:rsidP="00902B25">
      <w:pPr>
        <w:spacing w:after="180"/>
      </w:pPr>
      <w:r w:rsidRPr="00902B25">
        <w:t xml:space="preserve">If students have </w:t>
      </w:r>
      <w:r w:rsidR="004B1C32" w:rsidRPr="00902B25">
        <w:t>misunderstanding</w:t>
      </w:r>
      <w:r w:rsidRPr="00902B25">
        <w:t xml:space="preserve">s about </w:t>
      </w:r>
      <w:r w:rsidR="006831D6">
        <w:rPr>
          <w:rFonts w:cstheme="minorHAnsi"/>
          <w:szCs w:val="20"/>
        </w:rPr>
        <w:t>m</w:t>
      </w:r>
      <w:r w:rsidR="006831D6" w:rsidRPr="006A78D3">
        <w:rPr>
          <w:rFonts w:cstheme="minorHAnsi"/>
          <w:szCs w:val="20"/>
        </w:rPr>
        <w:t>ak</w:t>
      </w:r>
      <w:r w:rsidR="006831D6">
        <w:rPr>
          <w:rFonts w:cstheme="minorHAnsi"/>
          <w:szCs w:val="20"/>
        </w:rPr>
        <w:t>ing</w:t>
      </w:r>
      <w:r w:rsidR="006831D6" w:rsidRPr="006A78D3">
        <w:rPr>
          <w:rFonts w:cstheme="minorHAnsi"/>
          <w:szCs w:val="20"/>
        </w:rPr>
        <w:t xml:space="preserve"> calculations using values of half-life</w:t>
      </w:r>
      <w:r w:rsidR="00902B25">
        <w:rPr>
          <w:rFonts w:cstheme="minorHAnsi"/>
          <w:szCs w:val="20"/>
        </w:rPr>
        <w:t xml:space="preserve">, </w:t>
      </w:r>
      <w:r w:rsidR="00902B25" w:rsidRPr="00412699">
        <w:t xml:space="preserve">it can help to model what happens </w:t>
      </w:r>
      <w:r w:rsidR="00902B25">
        <w:t>to</w:t>
      </w:r>
      <w:r w:rsidR="00902B25" w:rsidRPr="00412699">
        <w:t xml:space="preserve"> a radioactive material </w:t>
      </w:r>
      <w:r w:rsidR="00902B25">
        <w:t xml:space="preserve">as it </w:t>
      </w:r>
      <w:r w:rsidR="00902B25" w:rsidRPr="00412699">
        <w:t>decays.</w:t>
      </w:r>
      <w:r w:rsidR="00A236EC">
        <w:t xml:space="preserve"> Practice calculations can then be used to consolidate understanding.</w:t>
      </w:r>
    </w:p>
    <w:p w:rsidR="00902B25" w:rsidRDefault="00902B25" w:rsidP="00902B25">
      <w:pPr>
        <w:spacing w:after="180"/>
      </w:pPr>
      <w:r w:rsidRPr="007D186D">
        <w:t>The following BEST ‘response activit</w:t>
      </w:r>
      <w:r w:rsidR="00A50930">
        <w:t>y</w:t>
      </w:r>
      <w:r w:rsidRPr="007D186D">
        <w:t>’ could be used</w:t>
      </w:r>
      <w:r>
        <w:t xml:space="preserve"> </w:t>
      </w:r>
      <w:r w:rsidRPr="007D186D">
        <w:t>in follow-up to this diagnostic question:</w:t>
      </w:r>
    </w:p>
    <w:p w:rsidR="006831D6" w:rsidRPr="007D186D" w:rsidRDefault="006831D6" w:rsidP="00902B25">
      <w:pPr>
        <w:pStyle w:val="ListParagraph"/>
        <w:numPr>
          <w:ilvl w:val="0"/>
          <w:numId w:val="1"/>
        </w:numPr>
        <w:spacing w:after="180"/>
      </w:pPr>
      <w:bookmarkStart w:id="2" w:name="_Hlk95138911"/>
      <w:r>
        <w:t xml:space="preserve">Response activity: </w:t>
      </w:r>
      <w:r w:rsidR="00AB2FFB">
        <w:t>Half-life of</w:t>
      </w:r>
      <w:r>
        <w:t xml:space="preserve"> pizza</w:t>
      </w:r>
    </w:p>
    <w:bookmarkEnd w:id="2"/>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D15C5">
        <w:t>).</w:t>
      </w:r>
    </w:p>
    <w:p w:rsidR="00CC78A5" w:rsidRDefault="00D278E8" w:rsidP="00E172C6">
      <w:pPr>
        <w:spacing w:after="180"/>
      </w:pPr>
      <w:r w:rsidRPr="0045323E">
        <w:t xml:space="preserve">Images: </w:t>
      </w:r>
      <w:r w:rsidR="007D536F">
        <w:t>Peter Fairhurst (UYSEG)</w:t>
      </w:r>
      <w:r w:rsidR="00563816">
        <w:t>.</w:t>
      </w:r>
    </w:p>
    <w:p w:rsidR="00477A60" w:rsidRDefault="00477A60" w:rsidP="00E24309">
      <w:pPr>
        <w:spacing w:after="180"/>
        <w:rPr>
          <w:b/>
          <w:color w:val="5F497A" w:themeColor="accent4" w:themeShade="BF"/>
          <w:sz w:val="24"/>
        </w:rPr>
      </w:pPr>
    </w:p>
    <w:p w:rsidR="004D15C5"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1A6FA7" w:rsidRPr="001A6FA7" w:rsidRDefault="004D15C5" w:rsidP="001A6FA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1A6FA7" w:rsidRPr="001A6FA7">
        <w:t xml:space="preserve">Hull, M. M. and Hopf, M. (2020). Student Understanding of Emergent Aspects of Radioactivity. </w:t>
      </w:r>
      <w:r w:rsidR="001A6FA7" w:rsidRPr="001A6FA7">
        <w:rPr>
          <w:i/>
        </w:rPr>
        <w:t>International Journal of Physics and Chemistry Education,</w:t>
      </w:r>
      <w:r w:rsidR="001A6FA7" w:rsidRPr="001A6FA7">
        <w:t xml:space="preserve"> 12(2).</w:t>
      </w:r>
    </w:p>
    <w:p w:rsidR="001A6FA7" w:rsidRPr="001A6FA7" w:rsidRDefault="001A6FA7" w:rsidP="001A6FA7">
      <w:pPr>
        <w:pStyle w:val="EndNoteBibliography"/>
        <w:spacing w:after="120"/>
        <w:ind w:left="426" w:hanging="426"/>
      </w:pPr>
      <w:r w:rsidRPr="001A6FA7">
        <w:t xml:space="preserve">Lijnse, P. L., et al. (1990). Pupils' and mass-media ideas about radioactivity. </w:t>
      </w:r>
      <w:r w:rsidRPr="001A6FA7">
        <w:rPr>
          <w:i/>
        </w:rPr>
        <w:t>International Journal of Science Education,</w:t>
      </w:r>
      <w:r w:rsidRPr="001A6FA7">
        <w:t xml:space="preserve"> 12.1.</w:t>
      </w:r>
    </w:p>
    <w:p w:rsidR="001A6FA7" w:rsidRPr="001A6FA7" w:rsidRDefault="001A6FA7" w:rsidP="001A6FA7">
      <w:pPr>
        <w:pStyle w:val="EndNoteBibliography"/>
        <w:spacing w:after="120"/>
        <w:ind w:left="426" w:hanging="426"/>
      </w:pPr>
      <w:r w:rsidRPr="001A6FA7">
        <w:t xml:space="preserve">Prather, E. (2005). Students' beliefs about the role of atoms in radioactive decay and half-life. </w:t>
      </w:r>
      <w:r w:rsidRPr="001A6FA7">
        <w:rPr>
          <w:i/>
        </w:rPr>
        <w:t>Journal of Geoscience Education,</w:t>
      </w:r>
      <w:r w:rsidRPr="001A6FA7">
        <w:t xml:space="preserve"> 53(4)</w:t>
      </w:r>
      <w:r w:rsidRPr="001A6FA7">
        <w:rPr>
          <w:b/>
        </w:rPr>
        <w:t>,</w:t>
      </w:r>
      <w:r w:rsidRPr="001A6FA7">
        <w:t xml:space="preserve"> 345-354.</w:t>
      </w:r>
    </w:p>
    <w:p w:rsidR="00B46FF9" w:rsidRDefault="004D15C5" w:rsidP="001A6FA7">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0A0" w:rsidRDefault="00BD00A0" w:rsidP="000B473B">
      <w:r>
        <w:separator/>
      </w:r>
    </w:p>
  </w:endnote>
  <w:endnote w:type="continuationSeparator" w:id="0">
    <w:p w:rsidR="00BD00A0" w:rsidRDefault="00BD00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8825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C0054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0A0" w:rsidRDefault="00BD00A0" w:rsidP="000B473B">
      <w:r>
        <w:separator/>
      </w:r>
    </w:p>
  </w:footnote>
  <w:footnote w:type="continuationSeparator" w:id="0">
    <w:p w:rsidR="00BD00A0" w:rsidRDefault="00BD00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C827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58E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71C"/>
    <w:multiLevelType w:val="hybridMultilevel"/>
    <w:tmpl w:val="57E0C664"/>
    <w:lvl w:ilvl="0" w:tplc="493A9B9C">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084345"/>
    <w:multiLevelType w:val="hybridMultilevel"/>
    <w:tmpl w:val="EF1A4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EC336A"/>
    <w:multiLevelType w:val="hybridMultilevel"/>
    <w:tmpl w:val="B802A1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896F02"/>
    <w:multiLevelType w:val="hybridMultilevel"/>
    <w:tmpl w:val="CF523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9C5585"/>
    <w:multiLevelType w:val="hybridMultilevel"/>
    <w:tmpl w:val="14A8C4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28215E"/>
    <w:multiLevelType w:val="hybridMultilevel"/>
    <w:tmpl w:val="7C8EB9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1"/>
  </w:num>
  <w:num w:numId="4">
    <w:abstractNumId w:val="2"/>
  </w:num>
  <w:num w:numId="5">
    <w:abstractNumId w:val="7"/>
  </w:num>
  <w:num w:numId="6">
    <w:abstractNumId w:val="3"/>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00A0"/>
    <w:rsid w:val="00015578"/>
    <w:rsid w:val="00024731"/>
    <w:rsid w:val="00026DEC"/>
    <w:rsid w:val="000505CA"/>
    <w:rsid w:val="00056CF4"/>
    <w:rsid w:val="00066234"/>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A6FA7"/>
    <w:rsid w:val="001C4805"/>
    <w:rsid w:val="001D125F"/>
    <w:rsid w:val="00201AC2"/>
    <w:rsid w:val="00214608"/>
    <w:rsid w:val="0021607B"/>
    <w:rsid w:val="002178AC"/>
    <w:rsid w:val="0022547C"/>
    <w:rsid w:val="0025410A"/>
    <w:rsid w:val="00257F57"/>
    <w:rsid w:val="00265E31"/>
    <w:rsid w:val="0027553E"/>
    <w:rsid w:val="0028012F"/>
    <w:rsid w:val="002828DF"/>
    <w:rsid w:val="0028551D"/>
    <w:rsid w:val="00287876"/>
    <w:rsid w:val="00292C53"/>
    <w:rsid w:val="00294E22"/>
    <w:rsid w:val="002B5D71"/>
    <w:rsid w:val="002C22EA"/>
    <w:rsid w:val="002C59BA"/>
    <w:rsid w:val="002C79AE"/>
    <w:rsid w:val="00301AA9"/>
    <w:rsid w:val="003117F6"/>
    <w:rsid w:val="003334B8"/>
    <w:rsid w:val="003533B8"/>
    <w:rsid w:val="0035493E"/>
    <w:rsid w:val="003752BE"/>
    <w:rsid w:val="00394A78"/>
    <w:rsid w:val="003A346A"/>
    <w:rsid w:val="003B2917"/>
    <w:rsid w:val="003B541B"/>
    <w:rsid w:val="003C52C1"/>
    <w:rsid w:val="003E2B2F"/>
    <w:rsid w:val="003E6046"/>
    <w:rsid w:val="003E609A"/>
    <w:rsid w:val="003F16F9"/>
    <w:rsid w:val="00430C1F"/>
    <w:rsid w:val="00442595"/>
    <w:rsid w:val="0045323E"/>
    <w:rsid w:val="004679D5"/>
    <w:rsid w:val="00477A60"/>
    <w:rsid w:val="004A23C5"/>
    <w:rsid w:val="004B0EE1"/>
    <w:rsid w:val="004B1C32"/>
    <w:rsid w:val="004C5D20"/>
    <w:rsid w:val="004D0D83"/>
    <w:rsid w:val="004D15C5"/>
    <w:rsid w:val="004E1DF1"/>
    <w:rsid w:val="004E5592"/>
    <w:rsid w:val="0050055B"/>
    <w:rsid w:val="00524710"/>
    <w:rsid w:val="00535269"/>
    <w:rsid w:val="00555342"/>
    <w:rsid w:val="005560E2"/>
    <w:rsid w:val="00563816"/>
    <w:rsid w:val="005A452E"/>
    <w:rsid w:val="005A6EE7"/>
    <w:rsid w:val="005E0B18"/>
    <w:rsid w:val="005F1A7B"/>
    <w:rsid w:val="006355D8"/>
    <w:rsid w:val="00642ECD"/>
    <w:rsid w:val="006502A0"/>
    <w:rsid w:val="006772F5"/>
    <w:rsid w:val="006831D6"/>
    <w:rsid w:val="00684B45"/>
    <w:rsid w:val="006A4440"/>
    <w:rsid w:val="006A78D3"/>
    <w:rsid w:val="006B0615"/>
    <w:rsid w:val="006D0B36"/>
    <w:rsid w:val="006D166B"/>
    <w:rsid w:val="006F3279"/>
    <w:rsid w:val="00704AEE"/>
    <w:rsid w:val="00722F9A"/>
    <w:rsid w:val="00754539"/>
    <w:rsid w:val="0077646D"/>
    <w:rsid w:val="00781BC6"/>
    <w:rsid w:val="007A3C86"/>
    <w:rsid w:val="007A683E"/>
    <w:rsid w:val="007A748B"/>
    <w:rsid w:val="007B18B8"/>
    <w:rsid w:val="007C17C7"/>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006BF"/>
    <w:rsid w:val="00902B25"/>
    <w:rsid w:val="00925026"/>
    <w:rsid w:val="00931264"/>
    <w:rsid w:val="00942A4B"/>
    <w:rsid w:val="00961D59"/>
    <w:rsid w:val="009B2D55"/>
    <w:rsid w:val="009C0343"/>
    <w:rsid w:val="009E0D11"/>
    <w:rsid w:val="009F2253"/>
    <w:rsid w:val="00A01222"/>
    <w:rsid w:val="00A236EC"/>
    <w:rsid w:val="00A24A16"/>
    <w:rsid w:val="00A37D14"/>
    <w:rsid w:val="00A43FF7"/>
    <w:rsid w:val="00A50930"/>
    <w:rsid w:val="00A56803"/>
    <w:rsid w:val="00A6111E"/>
    <w:rsid w:val="00A6168B"/>
    <w:rsid w:val="00A62028"/>
    <w:rsid w:val="00AA5B77"/>
    <w:rsid w:val="00AA6236"/>
    <w:rsid w:val="00AB2FFB"/>
    <w:rsid w:val="00AB6AE7"/>
    <w:rsid w:val="00AD21F5"/>
    <w:rsid w:val="00B06225"/>
    <w:rsid w:val="00B23C7A"/>
    <w:rsid w:val="00B305F5"/>
    <w:rsid w:val="00B43227"/>
    <w:rsid w:val="00B46FF9"/>
    <w:rsid w:val="00B47E1D"/>
    <w:rsid w:val="00B75483"/>
    <w:rsid w:val="00BA7952"/>
    <w:rsid w:val="00BB44B4"/>
    <w:rsid w:val="00BC2787"/>
    <w:rsid w:val="00BD00A0"/>
    <w:rsid w:val="00BF0BBF"/>
    <w:rsid w:val="00BF6C8A"/>
    <w:rsid w:val="00C00547"/>
    <w:rsid w:val="00C0158D"/>
    <w:rsid w:val="00C05571"/>
    <w:rsid w:val="00C114D8"/>
    <w:rsid w:val="00C157B4"/>
    <w:rsid w:val="00C23911"/>
    <w:rsid w:val="00C246CE"/>
    <w:rsid w:val="00C54711"/>
    <w:rsid w:val="00C57FA2"/>
    <w:rsid w:val="00CA116F"/>
    <w:rsid w:val="00CB7A35"/>
    <w:rsid w:val="00CC2E4D"/>
    <w:rsid w:val="00CC78A5"/>
    <w:rsid w:val="00CC7B16"/>
    <w:rsid w:val="00CE15FE"/>
    <w:rsid w:val="00D02E15"/>
    <w:rsid w:val="00D04A0D"/>
    <w:rsid w:val="00D14F44"/>
    <w:rsid w:val="00D16E4E"/>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0CCF"/>
    <w:rsid w:val="00E53D82"/>
    <w:rsid w:val="00E905A2"/>
    <w:rsid w:val="00E90654"/>
    <w:rsid w:val="00E9330A"/>
    <w:rsid w:val="00ED4560"/>
    <w:rsid w:val="00ED7BEC"/>
    <w:rsid w:val="00EE6B97"/>
    <w:rsid w:val="00F12C3B"/>
    <w:rsid w:val="00F2483A"/>
    <w:rsid w:val="00F26884"/>
    <w:rsid w:val="00F72ECC"/>
    <w:rsid w:val="00F8355F"/>
    <w:rsid w:val="00F91B51"/>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95B5E1"/>
  <w15:docId w15:val="{D1A3F0C6-F29D-4D55-983D-CABACDAC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D15C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15C5"/>
    <w:rPr>
      <w:rFonts w:ascii="Calibri" w:hAnsi="Calibri" w:cs="Calibri"/>
      <w:noProof/>
      <w:lang w:val="en-US"/>
    </w:rPr>
  </w:style>
  <w:style w:type="paragraph" w:customStyle="1" w:styleId="EndNoteBibliography">
    <w:name w:val="EndNote Bibliography"/>
    <w:basedOn w:val="Normal"/>
    <w:link w:val="EndNoteBibliographyChar"/>
    <w:rsid w:val="004D15C5"/>
    <w:rPr>
      <w:rFonts w:ascii="Calibri" w:hAnsi="Calibri" w:cs="Calibri"/>
      <w:noProof/>
      <w:lang w:val="en-US"/>
    </w:rPr>
  </w:style>
  <w:style w:type="character" w:customStyle="1" w:styleId="EndNoteBibliographyChar">
    <w:name w:val="EndNote Bibliography Char"/>
    <w:basedOn w:val="DefaultParagraphFont"/>
    <w:link w:val="EndNoteBibliography"/>
    <w:rsid w:val="004D15C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6758736">
      <w:bodyDiv w:val="1"/>
      <w:marLeft w:val="0"/>
      <w:marRight w:val="0"/>
      <w:marTop w:val="0"/>
      <w:marBottom w:val="0"/>
      <w:divBdr>
        <w:top w:val="none" w:sz="0" w:space="0" w:color="auto"/>
        <w:left w:val="none" w:sz="0" w:space="0" w:color="auto"/>
        <w:bottom w:val="none" w:sz="0" w:space="0" w:color="auto"/>
        <w:right w:val="none" w:sz="0" w:space="0" w:color="auto"/>
      </w:divBdr>
    </w:div>
    <w:div w:id="385642127">
      <w:bodyDiv w:val="1"/>
      <w:marLeft w:val="0"/>
      <w:marRight w:val="0"/>
      <w:marTop w:val="0"/>
      <w:marBottom w:val="0"/>
      <w:divBdr>
        <w:top w:val="none" w:sz="0" w:space="0" w:color="auto"/>
        <w:left w:val="none" w:sz="0" w:space="0" w:color="auto"/>
        <w:bottom w:val="none" w:sz="0" w:space="0" w:color="auto"/>
        <w:right w:val="none" w:sz="0" w:space="0" w:color="auto"/>
      </w:divBdr>
    </w:div>
    <w:div w:id="551431707">
      <w:bodyDiv w:val="1"/>
      <w:marLeft w:val="0"/>
      <w:marRight w:val="0"/>
      <w:marTop w:val="0"/>
      <w:marBottom w:val="0"/>
      <w:divBdr>
        <w:top w:val="none" w:sz="0" w:space="0" w:color="auto"/>
        <w:left w:val="none" w:sz="0" w:space="0" w:color="auto"/>
        <w:bottom w:val="none" w:sz="0" w:space="0" w:color="auto"/>
        <w:right w:val="none" w:sz="0" w:space="0" w:color="auto"/>
      </w:divBdr>
    </w:div>
    <w:div w:id="894395504">
      <w:bodyDiv w:val="1"/>
      <w:marLeft w:val="0"/>
      <w:marRight w:val="0"/>
      <w:marTop w:val="0"/>
      <w:marBottom w:val="0"/>
      <w:divBdr>
        <w:top w:val="none" w:sz="0" w:space="0" w:color="auto"/>
        <w:left w:val="none" w:sz="0" w:space="0" w:color="auto"/>
        <w:bottom w:val="none" w:sz="0" w:space="0" w:color="auto"/>
        <w:right w:val="none" w:sz="0" w:space="0" w:color="auto"/>
      </w:divBdr>
    </w:div>
    <w:div w:id="1000232360">
      <w:bodyDiv w:val="1"/>
      <w:marLeft w:val="0"/>
      <w:marRight w:val="0"/>
      <w:marTop w:val="0"/>
      <w:marBottom w:val="0"/>
      <w:divBdr>
        <w:top w:val="none" w:sz="0" w:space="0" w:color="auto"/>
        <w:left w:val="none" w:sz="0" w:space="0" w:color="auto"/>
        <w:bottom w:val="none" w:sz="0" w:space="0" w:color="auto"/>
        <w:right w:val="none" w:sz="0" w:space="0" w:color="auto"/>
      </w:divBdr>
    </w:div>
    <w:div w:id="1050688177">
      <w:bodyDiv w:val="1"/>
      <w:marLeft w:val="0"/>
      <w:marRight w:val="0"/>
      <w:marTop w:val="0"/>
      <w:marBottom w:val="0"/>
      <w:divBdr>
        <w:top w:val="none" w:sz="0" w:space="0" w:color="auto"/>
        <w:left w:val="none" w:sz="0" w:space="0" w:color="auto"/>
        <w:bottom w:val="none" w:sz="0" w:space="0" w:color="auto"/>
        <w:right w:val="none" w:sz="0" w:space="0" w:color="auto"/>
      </w:divBdr>
    </w:div>
    <w:div w:id="1095858984">
      <w:bodyDiv w:val="1"/>
      <w:marLeft w:val="0"/>
      <w:marRight w:val="0"/>
      <w:marTop w:val="0"/>
      <w:marBottom w:val="0"/>
      <w:divBdr>
        <w:top w:val="none" w:sz="0" w:space="0" w:color="auto"/>
        <w:left w:val="none" w:sz="0" w:space="0" w:color="auto"/>
        <w:bottom w:val="none" w:sz="0" w:space="0" w:color="auto"/>
        <w:right w:val="none" w:sz="0" w:space="0" w:color="auto"/>
      </w:divBdr>
    </w:div>
    <w:div w:id="1162352881">
      <w:bodyDiv w:val="1"/>
      <w:marLeft w:val="0"/>
      <w:marRight w:val="0"/>
      <w:marTop w:val="0"/>
      <w:marBottom w:val="0"/>
      <w:divBdr>
        <w:top w:val="none" w:sz="0" w:space="0" w:color="auto"/>
        <w:left w:val="none" w:sz="0" w:space="0" w:color="auto"/>
        <w:bottom w:val="none" w:sz="0" w:space="0" w:color="auto"/>
        <w:right w:val="none" w:sz="0" w:space="0" w:color="auto"/>
      </w:divBdr>
    </w:div>
    <w:div w:id="1166243892">
      <w:bodyDiv w:val="1"/>
      <w:marLeft w:val="0"/>
      <w:marRight w:val="0"/>
      <w:marTop w:val="0"/>
      <w:marBottom w:val="0"/>
      <w:divBdr>
        <w:top w:val="none" w:sz="0" w:space="0" w:color="auto"/>
        <w:left w:val="none" w:sz="0" w:space="0" w:color="auto"/>
        <w:bottom w:val="none" w:sz="0" w:space="0" w:color="auto"/>
        <w:right w:val="none" w:sz="0" w:space="0" w:color="auto"/>
      </w:divBdr>
    </w:div>
    <w:div w:id="1268730794">
      <w:bodyDiv w:val="1"/>
      <w:marLeft w:val="0"/>
      <w:marRight w:val="0"/>
      <w:marTop w:val="0"/>
      <w:marBottom w:val="0"/>
      <w:divBdr>
        <w:top w:val="none" w:sz="0" w:space="0" w:color="auto"/>
        <w:left w:val="none" w:sz="0" w:space="0" w:color="auto"/>
        <w:bottom w:val="none" w:sz="0" w:space="0" w:color="auto"/>
        <w:right w:val="none" w:sz="0" w:space="0" w:color="auto"/>
      </w:divBdr>
    </w:div>
    <w:div w:id="1281886553">
      <w:bodyDiv w:val="1"/>
      <w:marLeft w:val="0"/>
      <w:marRight w:val="0"/>
      <w:marTop w:val="0"/>
      <w:marBottom w:val="0"/>
      <w:divBdr>
        <w:top w:val="none" w:sz="0" w:space="0" w:color="auto"/>
        <w:left w:val="none" w:sz="0" w:space="0" w:color="auto"/>
        <w:bottom w:val="none" w:sz="0" w:space="0" w:color="auto"/>
        <w:right w:val="none" w:sz="0" w:space="0" w:color="auto"/>
      </w:divBdr>
    </w:div>
    <w:div w:id="1362782436">
      <w:bodyDiv w:val="1"/>
      <w:marLeft w:val="0"/>
      <w:marRight w:val="0"/>
      <w:marTop w:val="0"/>
      <w:marBottom w:val="0"/>
      <w:divBdr>
        <w:top w:val="none" w:sz="0" w:space="0" w:color="auto"/>
        <w:left w:val="none" w:sz="0" w:space="0" w:color="auto"/>
        <w:bottom w:val="none" w:sz="0" w:space="0" w:color="auto"/>
        <w:right w:val="none" w:sz="0" w:space="0" w:color="auto"/>
      </w:divBdr>
    </w:div>
    <w:div w:id="1483814501">
      <w:bodyDiv w:val="1"/>
      <w:marLeft w:val="0"/>
      <w:marRight w:val="0"/>
      <w:marTop w:val="0"/>
      <w:marBottom w:val="0"/>
      <w:divBdr>
        <w:top w:val="none" w:sz="0" w:space="0" w:color="auto"/>
        <w:left w:val="none" w:sz="0" w:space="0" w:color="auto"/>
        <w:bottom w:val="none" w:sz="0" w:space="0" w:color="auto"/>
        <w:right w:val="none" w:sz="0" w:space="0" w:color="auto"/>
      </w:divBdr>
    </w:div>
    <w:div w:id="1602492665">
      <w:bodyDiv w:val="1"/>
      <w:marLeft w:val="0"/>
      <w:marRight w:val="0"/>
      <w:marTop w:val="0"/>
      <w:marBottom w:val="0"/>
      <w:divBdr>
        <w:top w:val="none" w:sz="0" w:space="0" w:color="auto"/>
        <w:left w:val="none" w:sz="0" w:space="0" w:color="auto"/>
        <w:bottom w:val="none" w:sz="0" w:space="0" w:color="auto"/>
        <w:right w:val="none" w:sz="0" w:space="0" w:color="auto"/>
      </w:divBdr>
    </w:div>
    <w:div w:id="1801260738">
      <w:bodyDiv w:val="1"/>
      <w:marLeft w:val="0"/>
      <w:marRight w:val="0"/>
      <w:marTop w:val="0"/>
      <w:marBottom w:val="0"/>
      <w:divBdr>
        <w:top w:val="none" w:sz="0" w:space="0" w:color="auto"/>
        <w:left w:val="none" w:sz="0" w:space="0" w:color="auto"/>
        <w:bottom w:val="none" w:sz="0" w:space="0" w:color="auto"/>
        <w:right w:val="none" w:sz="0" w:space="0" w:color="auto"/>
      </w:divBdr>
    </w:div>
    <w:div w:id="1801605977">
      <w:bodyDiv w:val="1"/>
      <w:marLeft w:val="0"/>
      <w:marRight w:val="0"/>
      <w:marTop w:val="0"/>
      <w:marBottom w:val="0"/>
      <w:divBdr>
        <w:top w:val="none" w:sz="0" w:space="0" w:color="auto"/>
        <w:left w:val="none" w:sz="0" w:space="0" w:color="auto"/>
        <w:bottom w:val="none" w:sz="0" w:space="0" w:color="auto"/>
        <w:right w:val="none" w:sz="0" w:space="0" w:color="auto"/>
      </w:divBdr>
    </w:div>
    <w:div w:id="1811559513">
      <w:bodyDiv w:val="1"/>
      <w:marLeft w:val="0"/>
      <w:marRight w:val="0"/>
      <w:marTop w:val="0"/>
      <w:marBottom w:val="0"/>
      <w:divBdr>
        <w:top w:val="none" w:sz="0" w:space="0" w:color="auto"/>
        <w:left w:val="none" w:sz="0" w:space="0" w:color="auto"/>
        <w:bottom w:val="none" w:sz="0" w:space="0" w:color="auto"/>
        <w:right w:val="none" w:sz="0" w:space="0" w:color="auto"/>
      </w:divBdr>
    </w:div>
    <w:div w:id="1871604913">
      <w:bodyDiv w:val="1"/>
      <w:marLeft w:val="0"/>
      <w:marRight w:val="0"/>
      <w:marTop w:val="0"/>
      <w:marBottom w:val="0"/>
      <w:divBdr>
        <w:top w:val="none" w:sz="0" w:space="0" w:color="auto"/>
        <w:left w:val="none" w:sz="0" w:space="0" w:color="auto"/>
        <w:bottom w:val="none" w:sz="0" w:space="0" w:color="auto"/>
        <w:right w:val="none" w:sz="0" w:space="0" w:color="auto"/>
      </w:divBdr>
    </w:div>
    <w:div w:id="1901211247">
      <w:bodyDiv w:val="1"/>
      <w:marLeft w:val="0"/>
      <w:marRight w:val="0"/>
      <w:marTop w:val="0"/>
      <w:marBottom w:val="0"/>
      <w:divBdr>
        <w:top w:val="none" w:sz="0" w:space="0" w:color="auto"/>
        <w:left w:val="none" w:sz="0" w:space="0" w:color="auto"/>
        <w:bottom w:val="none" w:sz="0" w:space="0" w:color="auto"/>
        <w:right w:val="none" w:sz="0" w:space="0" w:color="auto"/>
      </w:divBdr>
    </w:div>
    <w:div w:id="20041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135</TotalTime>
  <Pages>4</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2022-02-07T14:29:00Z</dcterms:created>
  <dcterms:modified xsi:type="dcterms:W3CDTF">2022-02-09T11:29:00Z</dcterms:modified>
</cp:coreProperties>
</file>